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894"/>
      </w:tblGrid>
      <w:tr w:rsidR="00E1002B" w:rsidRPr="00AF5F3A" w14:paraId="71A7B0FC" w14:textId="77777777" w:rsidTr="000E1FA2">
        <w:tc>
          <w:tcPr>
            <w:tcW w:w="9350" w:type="dxa"/>
            <w:gridSpan w:val="2"/>
            <w:shd w:val="clear" w:color="auto" w:fill="002060"/>
          </w:tcPr>
          <w:p w14:paraId="30A2D3E4" w14:textId="30439473" w:rsidR="00E1002B" w:rsidRPr="00AF5F3A" w:rsidRDefault="00F10369" w:rsidP="000E1FA2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Tenant’s Move-</w:t>
            </w:r>
            <w:r w:rsidR="00E1002B" w:rsidRPr="00AF5F3A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 xml:space="preserve">In </w:t>
            </w:r>
            <w:r w:rsidR="00E1002B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Checklist</w:t>
            </w:r>
          </w:p>
        </w:tc>
      </w:tr>
      <w:tr w:rsidR="00E1002B" w:rsidRPr="00AF5F3A" w14:paraId="78AF4C34" w14:textId="77777777" w:rsidTr="000E1FA2">
        <w:tc>
          <w:tcPr>
            <w:tcW w:w="9350" w:type="dxa"/>
            <w:gridSpan w:val="2"/>
          </w:tcPr>
          <w:p w14:paraId="493DA79C" w14:textId="77777777" w:rsidR="00E1002B" w:rsidRPr="002E4974" w:rsidRDefault="00E1002B" w:rsidP="000E1FA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6"/>
                <w:szCs w:val="6"/>
              </w:rPr>
            </w:pPr>
          </w:p>
          <w:p w14:paraId="5D53F372" w14:textId="77777777" w:rsidR="00E1002B" w:rsidRPr="002E4974" w:rsidRDefault="00E1002B" w:rsidP="000E1FA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Please do the following 3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weeks prior to the move in date:</w:t>
            </w:r>
          </w:p>
        </w:tc>
      </w:tr>
      <w:tr w:rsidR="00E1002B" w:rsidRPr="00AF5F3A" w14:paraId="3576396C" w14:textId="77777777" w:rsidTr="000E1FA2">
        <w:tc>
          <w:tcPr>
            <w:tcW w:w="456" w:type="dxa"/>
          </w:tcPr>
          <w:p w14:paraId="2B3389A5" w14:textId="58C23B23" w:rsidR="00E1002B" w:rsidRDefault="006C575A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08312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C5A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1222A3A7" w14:textId="4AE0E594" w:rsidR="007D3C5A" w:rsidRDefault="008E7D76" w:rsidP="007D3C5A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Submit </w:t>
            </w:r>
            <w:r w:rsidR="00A834A0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Monthly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rent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</w:t>
            </w:r>
            <w:r w:rsidR="00925B52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hyperlink r:id="rId10" w:history="1">
              <w:r w:rsidR="00925B52" w:rsidRPr="0081687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Reference Rental Remittance Information</w:t>
              </w:r>
            </w:hyperlink>
            <w:r w:rsidR="00E1002B"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</w:p>
          <w:p w14:paraId="5BB049FD" w14:textId="77777777" w:rsidR="007D3C5A" w:rsidRDefault="006C575A" w:rsidP="0073042B">
            <w:pPr>
              <w:pStyle w:val="NoSpacing"/>
            </w:pPr>
            <w:sdt>
              <w:sdtPr>
                <w:id w:val="-157927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C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C5A">
              <w:t xml:space="preserve"> Meadows Road</w:t>
            </w:r>
          </w:p>
          <w:p w14:paraId="733438DC" w14:textId="1DC759D2" w:rsidR="007D3C5A" w:rsidRPr="007D3C5A" w:rsidRDefault="006C575A" w:rsidP="0073042B">
            <w:pPr>
              <w:pStyle w:val="NoSpacing"/>
            </w:pPr>
            <w:sdt>
              <w:sdtPr>
                <w:id w:val="70714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C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C5A">
              <w:t xml:space="preserve"> Kruse Way</w:t>
            </w:r>
          </w:p>
        </w:tc>
      </w:tr>
      <w:tr w:rsidR="00E1002B" w:rsidRPr="00AF5F3A" w14:paraId="7322DEC9" w14:textId="77777777" w:rsidTr="000E1FA2">
        <w:tc>
          <w:tcPr>
            <w:tcW w:w="456" w:type="dxa"/>
          </w:tcPr>
          <w:p w14:paraId="1385B47C" w14:textId="198565ED" w:rsidR="00E1002B" w:rsidRDefault="006C575A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96932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7EB7A687" w14:textId="1F83323A" w:rsidR="00E1002B" w:rsidRDefault="00925B52" w:rsidP="00925B52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  <w:highlight w:val="green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Reference</w:t>
            </w:r>
            <w:r w:rsidR="00206877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the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Pr="0081687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</w:t>
              </w:r>
              <w:r w:rsidR="005C6F49" w:rsidRPr="0081687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nsura</w:t>
              </w:r>
              <w:r w:rsidRPr="0081687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nce R</w:t>
              </w:r>
              <w:r w:rsidR="005C6F49" w:rsidRPr="0081687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equirements</w:t>
              </w:r>
              <w:r w:rsidRPr="0081687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Information</w:t>
              </w:r>
            </w:hyperlink>
            <w:r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="005C6F49" w:rsidRPr="00AF477A">
              <w:rPr>
                <w:rFonts w:ascii="Calibri" w:eastAsia="Times New Roman" w:hAnsi="Calibri" w:cs="Calibri"/>
                <w:sz w:val="24"/>
                <w:szCs w:val="24"/>
              </w:rPr>
              <w:t>and f</w:t>
            </w:r>
            <w:r w:rsidR="00E1002B" w:rsidRPr="00AF477A">
              <w:rPr>
                <w:rFonts w:ascii="Calibri" w:eastAsia="Times New Roman" w:hAnsi="Calibri" w:cs="Calibri"/>
                <w:sz w:val="24"/>
                <w:szCs w:val="24"/>
              </w:rPr>
              <w:t>orward the Tenant Certif</w:t>
            </w:r>
            <w:r w:rsidR="00B61440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icate of Insurance </w:t>
            </w:r>
            <w:r w:rsidR="00E1002B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hyperlink r:id="rId12" w:history="1">
              <w:r w:rsidR="00E3323F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Kruse-Admin@shorens</w:t>
              </w:r>
              <w:bookmarkStart w:id="0" w:name="_GoBack"/>
              <w:bookmarkEnd w:id="0"/>
              <w:r w:rsidR="00E3323F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tein.com</w:t>
              </w:r>
            </w:hyperlink>
            <w:r w:rsidR="00816876">
              <w:rPr>
                <w:rFonts w:ascii="Calibri" w:eastAsia="Times New Roman" w:hAnsi="Calibri" w:cs="Calibri"/>
                <w:sz w:val="24"/>
                <w:szCs w:val="24"/>
                <w:highlight w:val="green"/>
              </w:rPr>
              <w:t xml:space="preserve"> </w:t>
            </w:r>
          </w:p>
          <w:p w14:paraId="4F71DFDA" w14:textId="77777777" w:rsidR="007D3C5A" w:rsidRDefault="006C575A" w:rsidP="0073042B">
            <w:pPr>
              <w:pStyle w:val="NoSpacing"/>
            </w:pPr>
            <w:sdt>
              <w:sdtPr>
                <w:id w:val="-85612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C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C5A">
              <w:t xml:space="preserve"> Meadows Road</w:t>
            </w:r>
          </w:p>
          <w:p w14:paraId="0B69C122" w14:textId="13A5A666" w:rsidR="007D3C5A" w:rsidRPr="00FD0E91" w:rsidRDefault="006C575A" w:rsidP="0073042B">
            <w:pPr>
              <w:pStyle w:val="NoSpacing"/>
              <w:rPr>
                <w:b/>
                <w:highlight w:val="yellow"/>
              </w:rPr>
            </w:pPr>
            <w:sdt>
              <w:sdtPr>
                <w:id w:val="-111921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C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C5A">
              <w:t xml:space="preserve"> Kruse Way</w:t>
            </w:r>
          </w:p>
        </w:tc>
      </w:tr>
      <w:tr w:rsidR="00E1002B" w:rsidRPr="00AF5F3A" w14:paraId="788B6C91" w14:textId="77777777" w:rsidTr="000E1FA2">
        <w:tc>
          <w:tcPr>
            <w:tcW w:w="456" w:type="dxa"/>
          </w:tcPr>
          <w:p w14:paraId="1BC9B005" w14:textId="53E18BD5" w:rsidR="00E1002B" w:rsidRDefault="006C575A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399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37271FB" w14:textId="5758B5FA" w:rsidR="00E1002B" w:rsidRPr="00FD0E91" w:rsidRDefault="00E1002B" w:rsidP="00816876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3" w:history="1">
              <w:r w:rsidRPr="0081687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Tenant </w:t>
              </w:r>
              <w:r w:rsidR="00925B52" w:rsidRPr="0081687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Move-</w:t>
              </w:r>
              <w:r w:rsidR="00632B75" w:rsidRPr="0081687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In Form</w:t>
              </w:r>
            </w:hyperlink>
            <w:r w:rsidR="00632B75"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</w:p>
        </w:tc>
      </w:tr>
      <w:tr w:rsidR="0005068F" w:rsidRPr="00AF5F3A" w14:paraId="57D6697B" w14:textId="77777777" w:rsidTr="00B43CFD">
        <w:trPr>
          <w:trHeight w:val="288"/>
        </w:trPr>
        <w:tc>
          <w:tcPr>
            <w:tcW w:w="456" w:type="dxa"/>
          </w:tcPr>
          <w:p w14:paraId="6819311B" w14:textId="37C701ED" w:rsidR="0005068F" w:rsidRDefault="006C575A" w:rsidP="000E1FA2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86818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97DBD5D" w14:textId="21526670" w:rsidR="0005068F" w:rsidRPr="00FD0E91" w:rsidRDefault="0005068F" w:rsidP="00816876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4" w:history="1">
              <w:r w:rsidRPr="0081687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Contact</w:t>
              </w:r>
              <w:r w:rsidR="005655E5" w:rsidRPr="0081687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</w:t>
              </w:r>
              <w:r w:rsidRPr="0081687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Form</w:t>
              </w:r>
            </w:hyperlink>
            <w:r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</w:p>
        </w:tc>
      </w:tr>
      <w:tr w:rsidR="00E1002B" w:rsidRPr="00AF5F3A" w14:paraId="3617B3DB" w14:textId="77777777" w:rsidTr="000E1FA2">
        <w:tc>
          <w:tcPr>
            <w:tcW w:w="456" w:type="dxa"/>
          </w:tcPr>
          <w:p w14:paraId="13B898FF" w14:textId="1A67AF7E" w:rsidR="00E1002B" w:rsidRDefault="006C575A" w:rsidP="000E1FA2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5734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BD2190C" w14:textId="5FAE1F90" w:rsidR="00E1002B" w:rsidRPr="00FD0E91" w:rsidRDefault="00E1002B" w:rsidP="000E1FA2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Contact </w:t>
            </w:r>
            <w:r w:rsidR="00B43C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the </w:t>
            </w:r>
            <w:r w:rsidR="004A72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Management </w:t>
            </w:r>
            <w:r w:rsidR="00B43C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Office </w:t>
            </w:r>
            <w:r w:rsidR="004A72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 503-619-3200</w:t>
            </w:r>
            <w:r w:rsidR="0007443E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046E7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 any parking question</w:t>
            </w:r>
            <w:r w:rsidR="00A14B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r w:rsidR="00046E7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  <w:r w:rsidR="00A14B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(i.e. reserved parking)</w:t>
            </w:r>
          </w:p>
        </w:tc>
      </w:tr>
      <w:tr w:rsidR="00E1002B" w:rsidRPr="00AF5F3A" w14:paraId="03CB3118" w14:textId="77777777" w:rsidTr="000E1FA2">
        <w:tc>
          <w:tcPr>
            <w:tcW w:w="456" w:type="dxa"/>
          </w:tcPr>
          <w:p w14:paraId="1453362D" w14:textId="77777777" w:rsidR="00E1002B" w:rsidRDefault="006C575A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792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A87F765" w14:textId="7A587116" w:rsidR="00E1002B" w:rsidRPr="0076354C" w:rsidRDefault="00E1002B" w:rsidP="000E1FA2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  <w:u w:val="single"/>
              </w:rPr>
            </w:pP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Contact your Cable Vendor to add telecom cabling to the space. Your vendor will need to   contact </w:t>
            </w:r>
            <w:r w:rsidR="009C132D">
              <w:rPr>
                <w:rFonts w:ascii="Calibri" w:eastAsia="Times New Roman" w:hAnsi="Calibri" w:cs="Calibri"/>
                <w:sz w:val="24"/>
                <w:szCs w:val="24"/>
              </w:rPr>
              <w:t>Montgomery Technologies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for access to the riser </w:t>
            </w:r>
            <w:r w:rsidRPr="00FD0E91">
              <w:rPr>
                <w:rFonts w:ascii="Calibri" w:eastAsia="Times New Roman" w:hAnsi="Calibri" w:cs="Calibri"/>
                <w:sz w:val="24"/>
                <w:szCs w:val="24"/>
              </w:rPr>
              <w:t>system.</w:t>
            </w:r>
            <w:r w:rsidR="0076354C">
              <w:rPr>
                <w:rFonts w:ascii="Calibri" w:eastAsia="Times New Roman" w:hAnsi="Calibri" w:cs="Calibri"/>
                <w:sz w:val="24"/>
                <w:szCs w:val="24"/>
              </w:rPr>
              <w:t xml:space="preserve"> Advise the technician completing the installation to follow the </w:t>
            </w:r>
            <w:hyperlink r:id="rId15" w:history="1">
              <w:r w:rsidR="0076354C" w:rsidRPr="0081687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Cable Vendor Checklist.</w:t>
              </w:r>
            </w:hyperlink>
          </w:p>
          <w:p w14:paraId="36995E7E" w14:textId="77777777" w:rsidR="00D5748F" w:rsidRDefault="006C575A" w:rsidP="0073042B">
            <w:pPr>
              <w:pStyle w:val="NoSpacing"/>
            </w:pPr>
            <w:sdt>
              <w:sdtPr>
                <w:id w:val="26180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748F">
              <w:t xml:space="preserve"> Phone: 1-844-824-0100</w:t>
            </w:r>
          </w:p>
          <w:p w14:paraId="57521A63" w14:textId="176A9929" w:rsidR="00D5748F" w:rsidRPr="00FD0E91" w:rsidRDefault="006C575A" w:rsidP="0073042B">
            <w:pPr>
              <w:pStyle w:val="NoSpacing"/>
            </w:pPr>
            <w:sdt>
              <w:sdtPr>
                <w:id w:val="177142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748F">
              <w:t xml:space="preserve"> Email: network@montgomerytech.net</w:t>
            </w:r>
          </w:p>
        </w:tc>
      </w:tr>
      <w:tr w:rsidR="00E1002B" w:rsidRPr="00AF5F3A" w14:paraId="4127BDFD" w14:textId="77777777" w:rsidTr="000E1FA2">
        <w:tc>
          <w:tcPr>
            <w:tcW w:w="456" w:type="dxa"/>
          </w:tcPr>
          <w:p w14:paraId="25271321" w14:textId="77777777" w:rsidR="00E1002B" w:rsidRDefault="006C575A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1497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67158F4F" w14:textId="0E9A9383" w:rsidR="00E1002B" w:rsidRPr="00FD0E91" w:rsidRDefault="00531AC4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Receive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Access Cards, </w:t>
            </w:r>
            <w:r w:rsidR="00023F3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Suite Keys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and Mail Key</w:t>
            </w:r>
            <w:r w:rsidR="00023F3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from the Property Manager.</w:t>
            </w:r>
          </w:p>
        </w:tc>
      </w:tr>
      <w:tr w:rsidR="00925B52" w:rsidRPr="00AF5F3A" w14:paraId="62AFD4DF" w14:textId="77777777" w:rsidTr="000E1FA2">
        <w:tc>
          <w:tcPr>
            <w:tcW w:w="456" w:type="dxa"/>
          </w:tcPr>
          <w:p w14:paraId="2CB06927" w14:textId="77777777" w:rsidR="00925B52" w:rsidRDefault="006C575A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10893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6BED9A2" w14:textId="29F9499D" w:rsidR="00925B52" w:rsidRPr="00FD0E91" w:rsidRDefault="0051783B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Attend a scheduled pre-walk to view the existing conditions of the space with the Property Manager.</w:t>
            </w:r>
          </w:p>
        </w:tc>
      </w:tr>
      <w:tr w:rsidR="00925B52" w:rsidRPr="00AF5F3A" w14:paraId="63E1173E" w14:textId="77777777" w:rsidTr="000E1FA2">
        <w:tc>
          <w:tcPr>
            <w:tcW w:w="456" w:type="dxa"/>
          </w:tcPr>
          <w:p w14:paraId="0E86519F" w14:textId="77777777" w:rsidR="00925B52" w:rsidRDefault="006C575A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46685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1F5F5BC" w14:textId="533AF904" w:rsidR="00925B52" w:rsidRPr="00FD0E91" w:rsidRDefault="0051783B" w:rsidP="00816876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6" w:history="1">
              <w:r w:rsidRPr="0081687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Building’s Moving Procedures</w:t>
              </w:r>
            </w:hyperlink>
            <w:r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u w:val="single"/>
              </w:rPr>
              <w:t xml:space="preserve"> </w:t>
            </w:r>
          </w:p>
        </w:tc>
      </w:tr>
      <w:tr w:rsidR="003F5818" w:rsidRPr="00AF5F3A" w14:paraId="257DA9E6" w14:textId="77777777" w:rsidTr="000E1FA2">
        <w:tc>
          <w:tcPr>
            <w:tcW w:w="456" w:type="dxa"/>
          </w:tcPr>
          <w:p w14:paraId="0BAFDAFD" w14:textId="7CAD7339" w:rsidR="003F5818" w:rsidRDefault="006C575A" w:rsidP="003F5818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115775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818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333FF65E" w14:textId="319AAAF2" w:rsidR="0073042B" w:rsidRDefault="003F5818" w:rsidP="003F5818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Inform your employees </w:t>
            </w:r>
            <w:r w:rsidR="00784C1C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 submit an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17" w:history="1">
              <w:r w:rsidRPr="0081687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Amenities User Agreement Form</w:t>
              </w:r>
            </w:hyperlink>
            <w:r w:rsidR="00816876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u w:val="single"/>
              </w:rPr>
              <w:t xml:space="preserve">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the Building Management Office </w:t>
            </w:r>
            <w:r w:rsidRPr="00FD0E9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to access the following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building amenities</w:t>
            </w:r>
            <w:r w:rsidR="00023F3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</w:p>
          <w:p w14:paraId="6EF9B5EC" w14:textId="44C58EB3" w:rsidR="00EB3876" w:rsidRDefault="006C575A" w:rsidP="00EB3876">
            <w:pPr>
              <w:pStyle w:val="NoSpacing"/>
            </w:pPr>
            <w:sdt>
              <w:sdtPr>
                <w:id w:val="123443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8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3876">
              <w:t xml:space="preserve"> 4000 Kruse Way Place, Bldg. 3 – Suite 165</w:t>
            </w:r>
          </w:p>
          <w:p w14:paraId="00CFEB36" w14:textId="240E2557" w:rsidR="00EB3876" w:rsidRDefault="006C575A" w:rsidP="00EB3876">
            <w:pPr>
              <w:pStyle w:val="NoSpacing"/>
            </w:pPr>
            <w:sdt>
              <w:sdtPr>
                <w:id w:val="25749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8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3876">
              <w:t xml:space="preserve"> 4949 Meadows Road, Suite 145</w:t>
            </w:r>
          </w:p>
          <w:p w14:paraId="07E79039" w14:textId="59949DD7" w:rsidR="00EB3876" w:rsidRDefault="006C575A" w:rsidP="00EB3876">
            <w:pPr>
              <w:pStyle w:val="NoSpacing"/>
            </w:pPr>
            <w:sdt>
              <w:sdtPr>
                <w:id w:val="152150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8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3876">
              <w:t xml:space="preserve"> 5285 Meadows Road, Kruse Woods I – Parking Garage</w:t>
            </w:r>
          </w:p>
          <w:p w14:paraId="34B61500" w14:textId="2062B0AC" w:rsidR="00955336" w:rsidRDefault="006C575A" w:rsidP="00EB3876">
            <w:pPr>
              <w:pStyle w:val="NoSpacing"/>
            </w:pPr>
            <w:sdt>
              <w:sdtPr>
                <w:id w:val="-24981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8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3876">
              <w:t xml:space="preserve"> 5335 Meadows Road, Kruse Woods II – Parking Garage</w:t>
            </w:r>
          </w:p>
          <w:p w14:paraId="7470C68B" w14:textId="7B1A22CD" w:rsidR="00EB3876" w:rsidRPr="0073042B" w:rsidRDefault="00EB3876" w:rsidP="00EB3876">
            <w:pPr>
              <w:pStyle w:val="NoSpacing"/>
            </w:pPr>
          </w:p>
        </w:tc>
      </w:tr>
      <w:tr w:rsidR="00925B52" w:rsidRPr="00AF5F3A" w14:paraId="3DA8042B" w14:textId="77777777" w:rsidTr="000E1FA2">
        <w:tc>
          <w:tcPr>
            <w:tcW w:w="456" w:type="dxa"/>
          </w:tcPr>
          <w:p w14:paraId="03DF179D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20998C4C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</w:tr>
      <w:tr w:rsidR="00925B52" w:rsidRPr="00AF5F3A" w14:paraId="3F49F638" w14:textId="77777777" w:rsidTr="000E1FA2">
        <w:tc>
          <w:tcPr>
            <w:tcW w:w="9350" w:type="dxa"/>
            <w:gridSpan w:val="2"/>
          </w:tcPr>
          <w:p w14:paraId="71B4C72D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Please do the following on and after the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 move in date:</w:t>
            </w:r>
          </w:p>
        </w:tc>
      </w:tr>
      <w:tr w:rsidR="00925B52" w:rsidRPr="00AF5F3A" w14:paraId="00AA28EF" w14:textId="77777777" w:rsidTr="000E1FA2">
        <w:tc>
          <w:tcPr>
            <w:tcW w:w="456" w:type="dxa"/>
          </w:tcPr>
          <w:p w14:paraId="13779957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6E424DA8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925B52" w:rsidRPr="00AF5F3A" w14:paraId="7FD49776" w14:textId="77777777" w:rsidTr="000E1FA2">
        <w:tc>
          <w:tcPr>
            <w:tcW w:w="456" w:type="dxa"/>
            <w:tcBorders>
              <w:bottom w:val="nil"/>
            </w:tcBorders>
          </w:tcPr>
          <w:p w14:paraId="1AF118E4" w14:textId="77777777" w:rsidR="00925B52" w:rsidRDefault="006C575A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160858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  <w:tcBorders>
              <w:bottom w:val="nil"/>
            </w:tcBorders>
          </w:tcPr>
          <w:p w14:paraId="2E54A1EC" w14:textId="77777777" w:rsidR="00925B52" w:rsidRPr="002E4974" w:rsidRDefault="00925B52" w:rsidP="00925B52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Attend a Post walk with the Property Manager to check for damages during the move.</w:t>
            </w:r>
          </w:p>
        </w:tc>
      </w:tr>
      <w:tr w:rsidR="00925B52" w:rsidRPr="00AF5F3A" w14:paraId="7A4253A1" w14:textId="77777777" w:rsidTr="000E1FA2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19C37F52" w14:textId="77777777" w:rsidR="00925B52" w:rsidRDefault="006C575A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54514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25B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894" w:type="dxa"/>
            <w:tcBorders>
              <w:top w:val="nil"/>
              <w:bottom w:val="single" w:sz="4" w:space="0" w:color="auto"/>
            </w:tcBorders>
          </w:tcPr>
          <w:p w14:paraId="7BF828CE" w14:textId="7E0CFC92" w:rsidR="00925B52" w:rsidRPr="002E4974" w:rsidRDefault="00925B52" w:rsidP="00816876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8" w:history="1">
              <w:r w:rsidRPr="0081687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Handbook</w:t>
              </w:r>
            </w:hyperlink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The Tenant Handbook 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is a resource of information you need for your building including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operations, services, 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sustainability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b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uilding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ules and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egulations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25B52" w:rsidRPr="00AF5F3A" w14:paraId="3650443B" w14:textId="77777777" w:rsidTr="000E1FA2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F3DCC" w14:textId="77777777" w:rsidR="00925B52" w:rsidRDefault="00925B52" w:rsidP="00925B5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5B42B41E" w14:textId="50723C84" w:rsidR="00925B52" w:rsidRPr="00FA1F6C" w:rsidRDefault="00FA1F6C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Kruse Woods Corporate Park</w:t>
            </w:r>
          </w:p>
          <w:p w14:paraId="2904CA27" w14:textId="4BD3340E" w:rsidR="00925B52" w:rsidRPr="00FA1F6C" w:rsidRDefault="00FA1F6C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5335 Meadows Road, Suite 275</w:t>
            </w:r>
          </w:p>
          <w:p w14:paraId="37CBF92F" w14:textId="129DE309" w:rsidR="00925B52" w:rsidRPr="00FA1F6C" w:rsidRDefault="00FA1F6C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Lake Oswego, OR 97035</w:t>
            </w:r>
          </w:p>
          <w:p w14:paraId="55B9070C" w14:textId="4FA4FC23" w:rsidR="00925B52" w:rsidRPr="00FA1F6C" w:rsidRDefault="00FA1F6C" w:rsidP="00FA1F6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503-619-3200</w:t>
            </w:r>
          </w:p>
        </w:tc>
      </w:tr>
    </w:tbl>
    <w:p w14:paraId="74225EA6" w14:textId="20BA98D6" w:rsidR="001E233F" w:rsidRDefault="001E233F" w:rsidP="007C40BC"/>
    <w:sectPr w:rsidR="001E233F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5F745" w14:textId="77777777" w:rsidR="006C575A" w:rsidRDefault="006C575A">
      <w:pPr>
        <w:spacing w:after="0" w:line="240" w:lineRule="auto"/>
      </w:pPr>
      <w:r>
        <w:separator/>
      </w:r>
    </w:p>
  </w:endnote>
  <w:endnote w:type="continuationSeparator" w:id="0">
    <w:p w14:paraId="21A3D7EE" w14:textId="77777777" w:rsidR="006C575A" w:rsidRDefault="006C5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58340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3FF94780" w14:textId="7D8CC41F" w:rsidR="00263B77" w:rsidRPr="00263B77" w:rsidRDefault="00263B7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8"/>
            <w:szCs w:val="18"/>
          </w:rPr>
        </w:pPr>
        <w:r w:rsidRPr="00263B77">
          <w:rPr>
            <w:sz w:val="18"/>
            <w:szCs w:val="18"/>
          </w:rPr>
          <w:fldChar w:fldCharType="begin"/>
        </w:r>
        <w:r w:rsidRPr="00263B77">
          <w:rPr>
            <w:sz w:val="18"/>
            <w:szCs w:val="18"/>
          </w:rPr>
          <w:instrText xml:space="preserve"> PAGE   \* MERGEFORMAT </w:instrText>
        </w:r>
        <w:r w:rsidRPr="00263B77">
          <w:rPr>
            <w:sz w:val="18"/>
            <w:szCs w:val="18"/>
          </w:rPr>
          <w:fldChar w:fldCharType="separate"/>
        </w:r>
        <w:r w:rsidR="00816876" w:rsidRPr="00816876">
          <w:rPr>
            <w:b/>
            <w:bCs/>
            <w:noProof/>
            <w:sz w:val="18"/>
            <w:szCs w:val="18"/>
          </w:rPr>
          <w:t>1</w:t>
        </w:r>
        <w:r w:rsidRPr="00263B77">
          <w:rPr>
            <w:b/>
            <w:bCs/>
            <w:noProof/>
            <w:sz w:val="18"/>
            <w:szCs w:val="18"/>
          </w:rPr>
          <w:fldChar w:fldCharType="end"/>
        </w:r>
        <w:r w:rsidRPr="00263B77">
          <w:rPr>
            <w:b/>
            <w:bCs/>
            <w:sz w:val="18"/>
            <w:szCs w:val="18"/>
          </w:rPr>
          <w:t xml:space="preserve"> | </w:t>
        </w:r>
        <w:r w:rsidRPr="00263B77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14:paraId="63201C35" w14:textId="77777777" w:rsidR="006C44B7" w:rsidRDefault="006C57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BA0C4" w14:textId="77777777" w:rsidR="006C575A" w:rsidRDefault="006C575A">
      <w:pPr>
        <w:spacing w:after="0" w:line="240" w:lineRule="auto"/>
      </w:pPr>
      <w:r>
        <w:separator/>
      </w:r>
    </w:p>
  </w:footnote>
  <w:footnote w:type="continuationSeparator" w:id="0">
    <w:p w14:paraId="432756B4" w14:textId="77777777" w:rsidR="006C575A" w:rsidRDefault="006C5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44A5E" w14:textId="77777777" w:rsidR="00AF5F3A" w:rsidRDefault="00E100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AF5F3A" w:rsidRDefault="006C575A">
    <w:pPr>
      <w:pStyle w:val="Header"/>
    </w:pPr>
  </w:p>
  <w:p w14:paraId="52C41256" w14:textId="0D890904" w:rsidR="00AF5F3A" w:rsidRDefault="006C575A">
    <w:pPr>
      <w:pStyle w:val="Header"/>
    </w:pPr>
  </w:p>
  <w:p w14:paraId="6E2E996C" w14:textId="77777777" w:rsidR="002B444D" w:rsidRPr="00A046DE" w:rsidRDefault="002B444D">
    <w:pPr>
      <w:pStyle w:val="Head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44A66"/>
    <w:multiLevelType w:val="hybridMultilevel"/>
    <w:tmpl w:val="D1A68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28"/>
    <w:rsid w:val="00015187"/>
    <w:rsid w:val="00017B2D"/>
    <w:rsid w:val="00022392"/>
    <w:rsid w:val="00023F3F"/>
    <w:rsid w:val="00027570"/>
    <w:rsid w:val="00040147"/>
    <w:rsid w:val="00046E76"/>
    <w:rsid w:val="0005068F"/>
    <w:rsid w:val="00067AAC"/>
    <w:rsid w:val="0007443E"/>
    <w:rsid w:val="00084048"/>
    <w:rsid w:val="000903C2"/>
    <w:rsid w:val="000C131C"/>
    <w:rsid w:val="000D7232"/>
    <w:rsid w:val="000F5221"/>
    <w:rsid w:val="000F77F0"/>
    <w:rsid w:val="000F7D59"/>
    <w:rsid w:val="00144FA0"/>
    <w:rsid w:val="001761DC"/>
    <w:rsid w:val="00177E60"/>
    <w:rsid w:val="0018096D"/>
    <w:rsid w:val="001814F7"/>
    <w:rsid w:val="001A640D"/>
    <w:rsid w:val="001C3F9A"/>
    <w:rsid w:val="001C4E46"/>
    <w:rsid w:val="001D6925"/>
    <w:rsid w:val="001D7BD2"/>
    <w:rsid w:val="001D7E13"/>
    <w:rsid w:val="001E233F"/>
    <w:rsid w:val="00202215"/>
    <w:rsid w:val="00206877"/>
    <w:rsid w:val="0021019B"/>
    <w:rsid w:val="00220784"/>
    <w:rsid w:val="00221184"/>
    <w:rsid w:val="00237F49"/>
    <w:rsid w:val="002420DE"/>
    <w:rsid w:val="00243497"/>
    <w:rsid w:val="00243C57"/>
    <w:rsid w:val="002479C0"/>
    <w:rsid w:val="00252283"/>
    <w:rsid w:val="00263B77"/>
    <w:rsid w:val="0028406E"/>
    <w:rsid w:val="00291D4C"/>
    <w:rsid w:val="002949EF"/>
    <w:rsid w:val="0029714A"/>
    <w:rsid w:val="002A1B99"/>
    <w:rsid w:val="002A54AB"/>
    <w:rsid w:val="002B444D"/>
    <w:rsid w:val="002E014C"/>
    <w:rsid w:val="002F0323"/>
    <w:rsid w:val="002F7859"/>
    <w:rsid w:val="00300186"/>
    <w:rsid w:val="0033287D"/>
    <w:rsid w:val="00346B26"/>
    <w:rsid w:val="00351B0A"/>
    <w:rsid w:val="00356B53"/>
    <w:rsid w:val="00360603"/>
    <w:rsid w:val="003640E2"/>
    <w:rsid w:val="00365CA8"/>
    <w:rsid w:val="00370BA8"/>
    <w:rsid w:val="00380016"/>
    <w:rsid w:val="00394F3E"/>
    <w:rsid w:val="003974CB"/>
    <w:rsid w:val="003A78C2"/>
    <w:rsid w:val="003B3743"/>
    <w:rsid w:val="003F1DF8"/>
    <w:rsid w:val="003F5818"/>
    <w:rsid w:val="00425EA5"/>
    <w:rsid w:val="00435C92"/>
    <w:rsid w:val="0043738E"/>
    <w:rsid w:val="00442F10"/>
    <w:rsid w:val="004527E0"/>
    <w:rsid w:val="0046720C"/>
    <w:rsid w:val="00497351"/>
    <w:rsid w:val="004A51A5"/>
    <w:rsid w:val="004A7245"/>
    <w:rsid w:val="004B0A54"/>
    <w:rsid w:val="004B61D9"/>
    <w:rsid w:val="004C370B"/>
    <w:rsid w:val="004C56D4"/>
    <w:rsid w:val="004E627D"/>
    <w:rsid w:val="004F13E5"/>
    <w:rsid w:val="005130A0"/>
    <w:rsid w:val="0051783B"/>
    <w:rsid w:val="00523E6B"/>
    <w:rsid w:val="00531AC4"/>
    <w:rsid w:val="00554896"/>
    <w:rsid w:val="00563472"/>
    <w:rsid w:val="005655E5"/>
    <w:rsid w:val="005775F9"/>
    <w:rsid w:val="00580DCD"/>
    <w:rsid w:val="00582088"/>
    <w:rsid w:val="00585863"/>
    <w:rsid w:val="005912A9"/>
    <w:rsid w:val="005923B0"/>
    <w:rsid w:val="00592A23"/>
    <w:rsid w:val="005A2BE6"/>
    <w:rsid w:val="005B0BF4"/>
    <w:rsid w:val="005B4372"/>
    <w:rsid w:val="005B5C68"/>
    <w:rsid w:val="005B6B51"/>
    <w:rsid w:val="005B6DE9"/>
    <w:rsid w:val="005C6F49"/>
    <w:rsid w:val="005F3118"/>
    <w:rsid w:val="005F3B3B"/>
    <w:rsid w:val="006179CC"/>
    <w:rsid w:val="0063284B"/>
    <w:rsid w:val="00632B75"/>
    <w:rsid w:val="0064160F"/>
    <w:rsid w:val="006464E8"/>
    <w:rsid w:val="006604F8"/>
    <w:rsid w:val="00660874"/>
    <w:rsid w:val="00664D98"/>
    <w:rsid w:val="0066687C"/>
    <w:rsid w:val="00694236"/>
    <w:rsid w:val="006971DC"/>
    <w:rsid w:val="006A16F3"/>
    <w:rsid w:val="006A7128"/>
    <w:rsid w:val="006C0B20"/>
    <w:rsid w:val="006C3AFF"/>
    <w:rsid w:val="006C575A"/>
    <w:rsid w:val="006D0FBF"/>
    <w:rsid w:val="006E30DD"/>
    <w:rsid w:val="006F13C7"/>
    <w:rsid w:val="006F2D6A"/>
    <w:rsid w:val="0070136E"/>
    <w:rsid w:val="007219AF"/>
    <w:rsid w:val="0073042B"/>
    <w:rsid w:val="007344BB"/>
    <w:rsid w:val="00747FFB"/>
    <w:rsid w:val="0076354C"/>
    <w:rsid w:val="007727BA"/>
    <w:rsid w:val="00784C1C"/>
    <w:rsid w:val="0079170B"/>
    <w:rsid w:val="00791DAF"/>
    <w:rsid w:val="0079544A"/>
    <w:rsid w:val="007A1324"/>
    <w:rsid w:val="007B4BD9"/>
    <w:rsid w:val="007C40BC"/>
    <w:rsid w:val="007D3C5A"/>
    <w:rsid w:val="007E11D7"/>
    <w:rsid w:val="0080111F"/>
    <w:rsid w:val="00816876"/>
    <w:rsid w:val="0083670C"/>
    <w:rsid w:val="0085101E"/>
    <w:rsid w:val="00851EB3"/>
    <w:rsid w:val="00855E9A"/>
    <w:rsid w:val="008603C7"/>
    <w:rsid w:val="00873A5E"/>
    <w:rsid w:val="00892814"/>
    <w:rsid w:val="008A4064"/>
    <w:rsid w:val="008A5744"/>
    <w:rsid w:val="008B197F"/>
    <w:rsid w:val="008E2AE6"/>
    <w:rsid w:val="008E4158"/>
    <w:rsid w:val="008E7D76"/>
    <w:rsid w:val="008F33BD"/>
    <w:rsid w:val="008F7F9B"/>
    <w:rsid w:val="00910718"/>
    <w:rsid w:val="00925B52"/>
    <w:rsid w:val="009270E1"/>
    <w:rsid w:val="00955336"/>
    <w:rsid w:val="00987EEB"/>
    <w:rsid w:val="009A2573"/>
    <w:rsid w:val="009C0270"/>
    <w:rsid w:val="009C132D"/>
    <w:rsid w:val="009C7584"/>
    <w:rsid w:val="009D1F0B"/>
    <w:rsid w:val="009D4B01"/>
    <w:rsid w:val="009D64FD"/>
    <w:rsid w:val="009F7531"/>
    <w:rsid w:val="009F754F"/>
    <w:rsid w:val="00A046DE"/>
    <w:rsid w:val="00A124C4"/>
    <w:rsid w:val="00A13631"/>
    <w:rsid w:val="00A1434D"/>
    <w:rsid w:val="00A14B14"/>
    <w:rsid w:val="00A15516"/>
    <w:rsid w:val="00A15607"/>
    <w:rsid w:val="00A208E9"/>
    <w:rsid w:val="00A25664"/>
    <w:rsid w:val="00A33A6E"/>
    <w:rsid w:val="00A35FC2"/>
    <w:rsid w:val="00A60FF5"/>
    <w:rsid w:val="00A67D29"/>
    <w:rsid w:val="00A834A0"/>
    <w:rsid w:val="00A85FE8"/>
    <w:rsid w:val="00A86FB4"/>
    <w:rsid w:val="00A9004B"/>
    <w:rsid w:val="00AA17B7"/>
    <w:rsid w:val="00AA766F"/>
    <w:rsid w:val="00AB73A8"/>
    <w:rsid w:val="00AD35E1"/>
    <w:rsid w:val="00AD69CD"/>
    <w:rsid w:val="00AF2C33"/>
    <w:rsid w:val="00AF3EE6"/>
    <w:rsid w:val="00AF41DA"/>
    <w:rsid w:val="00AF477A"/>
    <w:rsid w:val="00B11BD1"/>
    <w:rsid w:val="00B21BE0"/>
    <w:rsid w:val="00B2720D"/>
    <w:rsid w:val="00B31A81"/>
    <w:rsid w:val="00B33A72"/>
    <w:rsid w:val="00B43CFD"/>
    <w:rsid w:val="00B61440"/>
    <w:rsid w:val="00B77C26"/>
    <w:rsid w:val="00B844DD"/>
    <w:rsid w:val="00B8538D"/>
    <w:rsid w:val="00B85A9C"/>
    <w:rsid w:val="00B91EB8"/>
    <w:rsid w:val="00B93E01"/>
    <w:rsid w:val="00BB761D"/>
    <w:rsid w:val="00BC1862"/>
    <w:rsid w:val="00BD388D"/>
    <w:rsid w:val="00BE7869"/>
    <w:rsid w:val="00C03D44"/>
    <w:rsid w:val="00C22E86"/>
    <w:rsid w:val="00C42F89"/>
    <w:rsid w:val="00C47394"/>
    <w:rsid w:val="00C5787D"/>
    <w:rsid w:val="00C65192"/>
    <w:rsid w:val="00C65E5E"/>
    <w:rsid w:val="00C743A7"/>
    <w:rsid w:val="00C76068"/>
    <w:rsid w:val="00C84B83"/>
    <w:rsid w:val="00C95370"/>
    <w:rsid w:val="00CA014F"/>
    <w:rsid w:val="00CA0653"/>
    <w:rsid w:val="00CA0F23"/>
    <w:rsid w:val="00CA2C90"/>
    <w:rsid w:val="00CA30A2"/>
    <w:rsid w:val="00CA42B7"/>
    <w:rsid w:val="00CD2768"/>
    <w:rsid w:val="00CD2D52"/>
    <w:rsid w:val="00D10C68"/>
    <w:rsid w:val="00D11D05"/>
    <w:rsid w:val="00D1603F"/>
    <w:rsid w:val="00D21482"/>
    <w:rsid w:val="00D5748F"/>
    <w:rsid w:val="00D6431E"/>
    <w:rsid w:val="00D7087F"/>
    <w:rsid w:val="00D815BC"/>
    <w:rsid w:val="00D8713A"/>
    <w:rsid w:val="00D91DB6"/>
    <w:rsid w:val="00D93327"/>
    <w:rsid w:val="00D95585"/>
    <w:rsid w:val="00DA5A33"/>
    <w:rsid w:val="00DC3C6E"/>
    <w:rsid w:val="00DC72C3"/>
    <w:rsid w:val="00DE5E41"/>
    <w:rsid w:val="00DF1223"/>
    <w:rsid w:val="00DF2EAA"/>
    <w:rsid w:val="00DF6834"/>
    <w:rsid w:val="00E1002B"/>
    <w:rsid w:val="00E26EC0"/>
    <w:rsid w:val="00E3323F"/>
    <w:rsid w:val="00E34CD1"/>
    <w:rsid w:val="00E637A5"/>
    <w:rsid w:val="00E8697A"/>
    <w:rsid w:val="00E93CBD"/>
    <w:rsid w:val="00E94839"/>
    <w:rsid w:val="00EB0042"/>
    <w:rsid w:val="00EB27D1"/>
    <w:rsid w:val="00EB3876"/>
    <w:rsid w:val="00EC563B"/>
    <w:rsid w:val="00EE5F86"/>
    <w:rsid w:val="00F079E2"/>
    <w:rsid w:val="00F10369"/>
    <w:rsid w:val="00F125B3"/>
    <w:rsid w:val="00F5099A"/>
    <w:rsid w:val="00F57763"/>
    <w:rsid w:val="00F70B0E"/>
    <w:rsid w:val="00FA1F6C"/>
    <w:rsid w:val="00FB3F0D"/>
    <w:rsid w:val="00FB54C1"/>
    <w:rsid w:val="00FC3202"/>
    <w:rsid w:val="00FD0E91"/>
    <w:rsid w:val="00FD5079"/>
    <w:rsid w:val="00FD5587"/>
    <w:rsid w:val="00FE1E2C"/>
    <w:rsid w:val="00FE4173"/>
    <w:rsid w:val="00FE7032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  <w:style w:type="paragraph" w:styleId="NoSpacing">
    <w:name w:val="No Spacing"/>
    <w:uiPriority w:val="1"/>
    <w:qFormat/>
    <w:rsid w:val="0073042B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3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krusewoodscorporatepark.com/tenant-handbook-new/forms" TargetMode="External"/><Relationship Id="rId18" Type="http://schemas.openxmlformats.org/officeDocument/2006/relationships/hyperlink" Target="http://www.krusewoodscorporatepark.com/tenant-handbook-new/introduction/welcom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Kruse-Admin@shorenstein.com" TargetMode="External"/><Relationship Id="rId17" Type="http://schemas.openxmlformats.org/officeDocument/2006/relationships/hyperlink" Target="http://www.krusewoodscorporatepark.com/tenant-handbook-new/form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krusewoodscorporatepark.com/tenant-handbook-new/building-operations/moving-procedur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rusewoodscorporatepark.com/tenant-handbook-new/building-operations/insurance-requirement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krusewoodscorporatepark.com/tenant-handbook-new/forms" TargetMode="External"/><Relationship Id="rId10" Type="http://schemas.openxmlformats.org/officeDocument/2006/relationships/hyperlink" Target="http://www.krusewoodscorporatepark.com/tenant-handbook-new/building-operations/rental-remittance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krusewoodscorporatepark.com/tenant-handbook-new/form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B64EE-8D59-4D95-833A-AD16510745EA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customXml/itemProps2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8587E-04A5-4AFF-BAFC-DD64FEF67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Checklist Template</vt:lpstr>
    </vt:vector>
  </TitlesOfParts>
  <Company>Shorenstein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Move-In Checklist Template</dc:title>
  <dc:subject/>
  <dc:creator>Linda Bettencourt</dc:creator>
  <cp:keywords/>
  <dc:description/>
  <cp:lastModifiedBy>David Chan</cp:lastModifiedBy>
  <cp:revision>22</cp:revision>
  <dcterms:created xsi:type="dcterms:W3CDTF">2020-01-14T20:35:00Z</dcterms:created>
  <dcterms:modified xsi:type="dcterms:W3CDTF">2020-09-30T22:23:00Z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  <property fmtid="{D5CDD505-2E9C-101B-9397-08002B2CF9AE}" pid="3" name="AuthorIds_UIVersion_1024">
    <vt:lpwstr>380</vt:lpwstr>
  </property>
  <property fmtid="{D5CDD505-2E9C-101B-9397-08002B2CF9AE}" pid="4" name="AuthorIds_UIVersion_2048">
    <vt:lpwstr>380</vt:lpwstr>
  </property>
</Properties>
</file>